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728E"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T.C.</w:t>
      </w:r>
      <w:r w:rsidRPr="00045DA6">
        <w:rPr>
          <w:rFonts w:ascii="Arial" w:hAnsi="Arial" w:cs="Arial"/>
          <w:b/>
          <w:bCs/>
          <w:color w:val="000000"/>
        </w:rPr>
        <w:br/>
        <w:t>DANIŞTAY</w:t>
      </w:r>
      <w:r w:rsidRPr="00045DA6">
        <w:rPr>
          <w:rFonts w:ascii="Arial" w:hAnsi="Arial" w:cs="Arial"/>
          <w:b/>
          <w:bCs/>
          <w:color w:val="000000"/>
        </w:rPr>
        <w:br/>
        <w:t>12. DAİRE</w:t>
      </w:r>
    </w:p>
    <w:p w14:paraId="3D2968C6"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E. 2012/10016</w:t>
      </w:r>
      <w:r w:rsidRPr="00045DA6">
        <w:rPr>
          <w:rFonts w:ascii="Arial" w:hAnsi="Arial" w:cs="Arial"/>
          <w:b/>
          <w:bCs/>
          <w:color w:val="000000"/>
        </w:rPr>
        <w:br/>
        <w:t>K. 2016/269</w:t>
      </w:r>
    </w:p>
    <w:p w14:paraId="78A54915"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T. 27.1.2016</w:t>
      </w:r>
    </w:p>
    <w:p w14:paraId="77F1A85B" w14:textId="77777777" w:rsidR="007B59B7" w:rsidRPr="00045DA6" w:rsidRDefault="007B59B7" w:rsidP="00045DA6">
      <w:pPr>
        <w:pStyle w:val="NormalWeb"/>
        <w:shd w:val="clear" w:color="auto" w:fill="FFFFFF"/>
        <w:jc w:val="both"/>
        <w:rPr>
          <w:rFonts w:ascii="Arial" w:hAnsi="Arial" w:cs="Arial"/>
          <w:color w:val="000000"/>
        </w:rPr>
      </w:pPr>
      <w:proofErr w:type="gramStart"/>
      <w:r w:rsidRPr="00045DA6">
        <w:rPr>
          <w:rFonts w:ascii="Arial" w:hAnsi="Arial" w:cs="Arial"/>
          <w:b/>
          <w:bCs/>
          <w:color w:val="000000"/>
        </w:rPr>
        <w:t>ÖZET :</w:t>
      </w:r>
      <w:proofErr w:type="gramEnd"/>
      <w:r w:rsidRPr="00045DA6">
        <w:rPr>
          <w:rFonts w:ascii="Arial" w:hAnsi="Arial" w:cs="Arial"/>
          <w:color w:val="000000"/>
        </w:rPr>
        <w:t> Davacının 15-16.12.2009 tarihlerinde çeşitli kamu görevlileri sendikalarının kararı üzerine Türkiye genelinde düzenlenen iş bırakma eylemine katılması sebebiyle hakkında soruşturma açılmış, kınama cezası ile cezalandırılmıştır. Kararın iptali istemiyle dava açılmıştır. Davacının eyleminin, demokratik bir tepkinin tezahürü amacıyla gerçekleştiği ve eylemin yapıldığı tarihte kendisi sendika üyesi olmasa da, sendikal faaliyet kapsamında katıldığı 1 gün iş bırakma eylemi sebebiyle göreve gelmemiş olmasının disiplin cezası ile cezalandırılması yoluna gidilmesi halinde yasalarla tanınan demokratik bir hakkın kullanımının caydırılmasına neden olunacağı dikkate alındığında, davacının kınama cezası ile tecziyesine dair davaya konu işlemde hukuka uyarlık bulunmamaktadır.</w:t>
      </w:r>
    </w:p>
    <w:p w14:paraId="0CD4A379" w14:textId="77777777" w:rsidR="007B59B7" w:rsidRPr="00045DA6" w:rsidRDefault="007B59B7" w:rsidP="00045DA6">
      <w:pPr>
        <w:pStyle w:val="NormalWeb"/>
        <w:shd w:val="clear" w:color="auto" w:fill="FFFFFF"/>
        <w:jc w:val="both"/>
        <w:rPr>
          <w:rFonts w:ascii="Arial" w:hAnsi="Arial" w:cs="Arial"/>
          <w:color w:val="000000"/>
        </w:rPr>
      </w:pPr>
      <w:r w:rsidRPr="00045DA6">
        <w:rPr>
          <w:rFonts w:ascii="Arial" w:hAnsi="Arial" w:cs="Arial"/>
          <w:b/>
          <w:bCs/>
          <w:color w:val="000000"/>
        </w:rPr>
        <w:t>İstemin Özeti :</w:t>
      </w:r>
      <w:r w:rsidRPr="00045DA6">
        <w:rPr>
          <w:rFonts w:ascii="Arial" w:hAnsi="Arial" w:cs="Arial"/>
          <w:color w:val="000000"/>
        </w:rPr>
        <w:t> ... Depo Müdürlüğü'nde görev yapan davacının, kınama cezası ile cezalandırılmasına dair 3. Bölge Disiplin Kurulu'nun 4.11.2011 tarihli Bölge Müdürlüğü oluru ile onaylanan 30.9.2011 tarihli ve 2011/39 Sayılı işlemin iptali istemiyle açılan davada, davacının söz konusu eyleminin, demokratik bir tepkinin tezahürü amacıyla gerçekleştiği ve eylemin yapıldığı tarihte kendisi sendika üyesi olmasa da, sendikal faaliyet kapsamında katıldığı 1 gün iş bırakma eylemi sebebiyle göreve gelmemiş olmasının disiplin cezası ile cezalandırılması yoluna gidilmesi halinde yasalarla tanınan demokratik bir hakkın kullanımının caydırılmasına neden olunacağı dikkate alındığında, davacının kınama cezası ile tecziyesine dair davaya konu işlemde hukuka uyarlık bulunmadığı gerekçesiyle iptali yolunda Balıkesir İdare Mahkemesince verilen 20.6.2012 tarihli ve E:2012/93, K:2012/1366 Sayılı kararın temyizen incelenerek bozulması istenilmektedir.</w:t>
      </w:r>
    </w:p>
    <w:p w14:paraId="54900889"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 xml:space="preserve">Savunmanın </w:t>
      </w:r>
      <w:proofErr w:type="gramStart"/>
      <w:r w:rsidRPr="00045DA6">
        <w:rPr>
          <w:rFonts w:ascii="Arial" w:hAnsi="Arial" w:cs="Arial"/>
          <w:b/>
          <w:bCs/>
          <w:color w:val="000000"/>
        </w:rPr>
        <w:t>Özeti :</w:t>
      </w:r>
      <w:proofErr w:type="gramEnd"/>
      <w:r w:rsidRPr="00045DA6">
        <w:rPr>
          <w:rFonts w:ascii="Arial" w:hAnsi="Arial" w:cs="Arial"/>
          <w:color w:val="000000"/>
        </w:rPr>
        <w:t> İstemin reddi gerektiği savunulmaktadır.</w:t>
      </w:r>
    </w:p>
    <w:p w14:paraId="34A456B9"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 xml:space="preserve">Danıştay Tetkik Hakimi </w:t>
      </w:r>
      <w:proofErr w:type="gramStart"/>
      <w:r w:rsidRPr="00045DA6">
        <w:rPr>
          <w:rFonts w:ascii="Arial" w:hAnsi="Arial" w:cs="Arial"/>
          <w:b/>
          <w:bCs/>
          <w:color w:val="000000"/>
        </w:rPr>
        <w:t>Düşüncesi :</w:t>
      </w:r>
      <w:proofErr w:type="gramEnd"/>
      <w:r w:rsidRPr="00045DA6">
        <w:rPr>
          <w:rFonts w:ascii="Arial" w:hAnsi="Arial" w:cs="Arial"/>
          <w:color w:val="000000"/>
        </w:rPr>
        <w:t> Kararın bozulması gerektiği düşünülmektedir.</w:t>
      </w:r>
    </w:p>
    <w:p w14:paraId="1F9FC0B7"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TÜRK MİLLETİ ADINA</w:t>
      </w:r>
    </w:p>
    <w:p w14:paraId="4EB0E739" w14:textId="77777777" w:rsidR="007B59B7" w:rsidRPr="00045DA6" w:rsidRDefault="007B59B7" w:rsidP="007B59B7">
      <w:pPr>
        <w:pStyle w:val="NormalWeb"/>
        <w:shd w:val="clear" w:color="auto" w:fill="FFFFFF"/>
        <w:rPr>
          <w:rFonts w:ascii="Arial" w:hAnsi="Arial" w:cs="Arial"/>
          <w:color w:val="000000"/>
        </w:rPr>
      </w:pPr>
      <w:r w:rsidRPr="00045DA6">
        <w:rPr>
          <w:rFonts w:ascii="Arial" w:hAnsi="Arial" w:cs="Arial"/>
          <w:b/>
          <w:bCs/>
          <w:color w:val="000000"/>
        </w:rPr>
        <w:t xml:space="preserve">Karar veren Danıştay </w:t>
      </w:r>
      <w:proofErr w:type="spellStart"/>
      <w:r w:rsidRPr="00045DA6">
        <w:rPr>
          <w:rFonts w:ascii="Arial" w:hAnsi="Arial" w:cs="Arial"/>
          <w:b/>
          <w:bCs/>
          <w:color w:val="000000"/>
        </w:rPr>
        <w:t>Onikinci</w:t>
      </w:r>
      <w:proofErr w:type="spellEnd"/>
      <w:r w:rsidRPr="00045DA6">
        <w:rPr>
          <w:rFonts w:ascii="Arial" w:hAnsi="Arial" w:cs="Arial"/>
          <w:b/>
          <w:bCs/>
          <w:color w:val="000000"/>
        </w:rPr>
        <w:t xml:space="preserve"> Dairesince işin gereği görüşüldü:</w:t>
      </w:r>
    </w:p>
    <w:p w14:paraId="73A35F21" w14:textId="77777777" w:rsidR="007B59B7" w:rsidRPr="00045DA6" w:rsidRDefault="007B59B7" w:rsidP="00045DA6">
      <w:pPr>
        <w:pStyle w:val="NormalWeb"/>
        <w:shd w:val="clear" w:color="auto" w:fill="FFFFFF"/>
        <w:jc w:val="both"/>
        <w:rPr>
          <w:rFonts w:ascii="Arial" w:hAnsi="Arial" w:cs="Arial"/>
          <w:color w:val="000000"/>
        </w:rPr>
      </w:pPr>
      <w:proofErr w:type="gramStart"/>
      <w:r w:rsidRPr="00045DA6">
        <w:rPr>
          <w:rFonts w:ascii="Arial" w:hAnsi="Arial" w:cs="Arial"/>
          <w:b/>
          <w:bCs/>
          <w:color w:val="000000"/>
        </w:rPr>
        <w:t>KARAR :</w:t>
      </w:r>
      <w:proofErr w:type="gramEnd"/>
      <w:r w:rsidRPr="00045DA6">
        <w:rPr>
          <w:rFonts w:ascii="Arial" w:hAnsi="Arial" w:cs="Arial"/>
          <w:color w:val="000000"/>
        </w:rPr>
        <w:t> İdare ve vergi mahkemeleri tarafından verilen kararların temyiz yolu ile incelenerek bozulabilmeleri 2577 Sayılı İdari Yargılama Usulü Kanunu'nun 49. maddesinde belirtilen nedenlerden birinin bulunması halinde mümkündür. İdare mahkemesince verilen karar ve dayandığı gerekçe, hukuk ve usule uygun olup bozulmasını gerektirecek bir sebep de bulunmadığından temyiz isteminin reddi ile anılan kararın onanmasına, temyiz giderlerinin istemde bulunan üzerinde bırakılmasına, bu kararın tebliğ tarihini izleyen 15 (</w:t>
      </w:r>
      <w:proofErr w:type="spellStart"/>
      <w:r w:rsidRPr="00045DA6">
        <w:rPr>
          <w:rFonts w:ascii="Arial" w:hAnsi="Arial" w:cs="Arial"/>
          <w:color w:val="000000"/>
        </w:rPr>
        <w:t>onbeş</w:t>
      </w:r>
      <w:proofErr w:type="spellEnd"/>
      <w:r w:rsidRPr="00045DA6">
        <w:rPr>
          <w:rFonts w:ascii="Arial" w:hAnsi="Arial" w:cs="Arial"/>
          <w:color w:val="000000"/>
        </w:rPr>
        <w:t>) gün içerisinde kararın düzeltilmesi yolu açık olmak üzere, 27.01.2016 tarihinde oyçokluğu ile karar verildi.</w:t>
      </w:r>
    </w:p>
    <w:sectPr w:rsidR="007B59B7" w:rsidRPr="00045DA6" w:rsidSect="00677114">
      <w:pgSz w:w="11906" w:h="16838"/>
      <w:pgMar w:top="851"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D8"/>
    <w:rsid w:val="00045DA6"/>
    <w:rsid w:val="003349D8"/>
    <w:rsid w:val="00426AF0"/>
    <w:rsid w:val="00677114"/>
    <w:rsid w:val="007264F5"/>
    <w:rsid w:val="007B59B7"/>
    <w:rsid w:val="00AD6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6EBBB-4958-4AA7-9B14-800D7C1F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B59B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6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Malatya Eğitim-Sen</cp:lastModifiedBy>
  <cp:revision>5</cp:revision>
  <cp:lastPrinted>2024-05-09T11:15:00Z</cp:lastPrinted>
  <dcterms:created xsi:type="dcterms:W3CDTF">2021-12-14T11:14:00Z</dcterms:created>
  <dcterms:modified xsi:type="dcterms:W3CDTF">2024-05-09T11:15:00Z</dcterms:modified>
</cp:coreProperties>
</file>