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93" w:rsidRPr="00BD1DBF" w:rsidRDefault="00BD1DBF" w:rsidP="009A5D93">
      <w:pPr>
        <w:ind w:left="2124" w:firstLine="708"/>
        <w:jc w:val="both"/>
        <w:rPr>
          <w:rFonts w:ascii="Tahoma" w:hAnsi="Tahoma" w:cs="Tahoma"/>
          <w:b/>
        </w:rPr>
      </w:pPr>
      <w:r>
        <w:rPr>
          <w:rFonts w:ascii="Tahoma" w:hAnsi="Tahoma" w:cs="Tahoma"/>
          <w:b/>
        </w:rPr>
        <w:t>T.</w:t>
      </w:r>
      <w:r w:rsidR="009A5D93" w:rsidRPr="00BD1DBF">
        <w:rPr>
          <w:rFonts w:ascii="Tahoma" w:hAnsi="Tahoma" w:cs="Tahoma"/>
          <w:b/>
        </w:rPr>
        <w:t>C. MİLLİ EĞİTİM BAKANLIĞI’NA</w:t>
      </w:r>
    </w:p>
    <w:p w:rsidR="009A5D93" w:rsidRPr="00BD1DBF" w:rsidRDefault="009A5D93" w:rsidP="009A5D93">
      <w:pPr>
        <w:jc w:val="both"/>
        <w:rPr>
          <w:rFonts w:ascii="Tahoma" w:hAnsi="Tahoma" w:cs="Tahoma"/>
        </w:rPr>
      </w:pPr>
      <w:r w:rsidRPr="00BD1DBF">
        <w:rPr>
          <w:rFonts w:ascii="Tahoma" w:hAnsi="Tahoma" w:cs="Tahoma"/>
        </w:rPr>
        <w:t xml:space="preserve">Salgının artarak devam ettiği koşullarda yüz yüze ve uzaktan şekilde eğitime devam etmekte olan biz öğretmenler, ağır ekonomik koşullar altında ve her gün artan iş yükü ile mesleğimizi yapmakta, tüm öğrencilerimize ulaşmaya, ellerinden tutmaya çalışmaktayız. Tek bir çocuğun bile geride kalmaması, salgına karşı çaresiz ve umutsuz hissetmemesi için var gücümüzle çalışmaktayız. Hamasi nutuklarla mesleğimizin ve biz öğretmenlerin ne kadar değerli olduğunu dinlemek değil, sorunlarımıza acil ve kalıcı çözümler istiyoruz. Bu nedenle biz aşağıda imzası olanlar, taleplerimizin acilen gerçekleşmesini talep etmekteyiz. </w:t>
      </w:r>
    </w:p>
    <w:p w:rsidR="009A5D93" w:rsidRPr="00BD1DBF" w:rsidRDefault="009A5D93" w:rsidP="009A5D93">
      <w:pPr>
        <w:jc w:val="both"/>
        <w:rPr>
          <w:rFonts w:ascii="Tahoma" w:hAnsi="Tahoma" w:cs="Tahoma"/>
        </w:rPr>
      </w:pPr>
      <w:r w:rsidRPr="00BD1DBF">
        <w:rPr>
          <w:rFonts w:ascii="Tahoma" w:hAnsi="Tahoma" w:cs="Tahoma"/>
          <w:b/>
        </w:rPr>
        <w:t>Taleplerimiz</w:t>
      </w:r>
      <w:r w:rsidRPr="00BD1DBF">
        <w:rPr>
          <w:rFonts w:ascii="Tahoma" w:hAnsi="Tahoma" w:cs="Tahoma"/>
        </w:rPr>
        <w:t>:</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Salgın koşullarında okulların sağlık açısından güvenli ve hazır olması için yeterli ödenek gönderilmelidir.</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Tüm öğretmenlere ve eğitim emekçilerine 3600 ek gösterge acilen verilmelidir.</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Covid-19 meslek hastalığı olarak kabul edilmelidir.</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 xml:space="preserve">Öğretmenler mesai saatleri dışında ve hafta sonu çalışmaya zorlanmamalıdır. </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 xml:space="preserve">Salgın koşullarında yapılan uzaktan eğitim ve okullarda yapılan yüz yüze eğitim için ek ders ücretleri artırımlı ödenmelidir. </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İdari izinli olan öğretmenlere bir önceki yıl ödenen ek ders ücreti miktarı kadar ek ders ödenmelidir.</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Tüm öğretmenlere ve eğitim emekçilerine salgına karşı koruyucu malzeme düzenli olarak verilmelidir.</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 xml:space="preserve">Okullar ve eğitimle ilgili kararlar öğretmenler ve sendikaları ile birlikte alınmalıdır. </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 xml:space="preserve">Öğretmenler ve eğitim emekçileri istekleri dışında görevlendirilmemelidir. </w:t>
      </w:r>
    </w:p>
    <w:p w:rsidR="009A5D93" w:rsidRPr="00BD1DBF" w:rsidRDefault="009A5D93" w:rsidP="009A5D93">
      <w:pPr>
        <w:pStyle w:val="ListeParagraf"/>
        <w:numPr>
          <w:ilvl w:val="0"/>
          <w:numId w:val="1"/>
        </w:numPr>
        <w:jc w:val="both"/>
        <w:rPr>
          <w:rFonts w:ascii="Tahoma" w:hAnsi="Tahoma" w:cs="Tahoma"/>
        </w:rPr>
      </w:pPr>
      <w:r w:rsidRPr="00BD1DBF">
        <w:rPr>
          <w:rFonts w:ascii="Tahoma" w:hAnsi="Tahoma" w:cs="Tahoma"/>
        </w:rPr>
        <w:t>Tüm öğretmenlerin maaş karşılığı ders saati 15 saat olarak eşitlenmelidir.</w:t>
      </w:r>
    </w:p>
    <w:tbl>
      <w:tblPr>
        <w:tblStyle w:val="TabloKlavuzu"/>
        <w:tblW w:w="10172" w:type="dxa"/>
        <w:tblInd w:w="0" w:type="dxa"/>
        <w:tblLook w:val="04A0" w:firstRow="1" w:lastRow="0" w:firstColumn="1" w:lastColumn="0" w:noHBand="0" w:noVBand="1"/>
      </w:tblPr>
      <w:tblGrid>
        <w:gridCol w:w="3390"/>
        <w:gridCol w:w="3391"/>
        <w:gridCol w:w="3391"/>
      </w:tblGrid>
      <w:tr w:rsidR="009A5D93" w:rsidRPr="00BD1DBF" w:rsidTr="00F14D04">
        <w:trPr>
          <w:trHeight w:val="534"/>
        </w:trPr>
        <w:tc>
          <w:tcPr>
            <w:tcW w:w="3390" w:type="dxa"/>
            <w:tcBorders>
              <w:top w:val="single" w:sz="4" w:space="0" w:color="auto"/>
              <w:left w:val="single" w:sz="4" w:space="0" w:color="auto"/>
              <w:bottom w:val="single" w:sz="4" w:space="0" w:color="auto"/>
              <w:right w:val="single" w:sz="4" w:space="0" w:color="auto"/>
            </w:tcBorders>
            <w:hideMark/>
          </w:tcPr>
          <w:p w:rsidR="009A5D93" w:rsidRPr="00BD1DBF" w:rsidRDefault="009A5D93">
            <w:pPr>
              <w:ind w:left="885" w:hanging="743"/>
              <w:jc w:val="both"/>
              <w:rPr>
                <w:rFonts w:ascii="Tahoma" w:hAnsi="Tahoma" w:cs="Tahoma"/>
                <w:b/>
              </w:rPr>
            </w:pPr>
            <w:r w:rsidRPr="00BD1DBF">
              <w:rPr>
                <w:rFonts w:ascii="Tahoma" w:hAnsi="Tahoma" w:cs="Tahoma"/>
                <w:b/>
              </w:rPr>
              <w:t xml:space="preserve">                                                          AD-SOYAD</w:t>
            </w: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b/>
              </w:rPr>
            </w:pPr>
          </w:p>
          <w:p w:rsidR="009A5D93" w:rsidRPr="00BD1DBF" w:rsidRDefault="009A5D93">
            <w:pPr>
              <w:jc w:val="both"/>
              <w:rPr>
                <w:rFonts w:ascii="Tahoma" w:hAnsi="Tahoma" w:cs="Tahoma"/>
                <w:b/>
              </w:rPr>
            </w:pPr>
            <w:r w:rsidRPr="00BD1DBF">
              <w:rPr>
                <w:rFonts w:ascii="Tahoma" w:hAnsi="Tahoma" w:cs="Tahoma"/>
                <w:b/>
              </w:rPr>
              <w:t xml:space="preserve">                          İL</w:t>
            </w:r>
          </w:p>
        </w:tc>
        <w:tc>
          <w:tcPr>
            <w:tcW w:w="3391" w:type="dxa"/>
            <w:tcBorders>
              <w:top w:val="single" w:sz="4" w:space="0" w:color="auto"/>
              <w:left w:val="single" w:sz="4" w:space="0" w:color="auto"/>
              <w:bottom w:val="single" w:sz="4" w:space="0" w:color="auto"/>
              <w:right w:val="single" w:sz="4" w:space="0" w:color="auto"/>
            </w:tcBorders>
            <w:hideMark/>
          </w:tcPr>
          <w:p w:rsidR="009A5D93" w:rsidRPr="00BD1DBF" w:rsidRDefault="009A5D93">
            <w:pPr>
              <w:ind w:left="1045"/>
              <w:jc w:val="both"/>
              <w:rPr>
                <w:rFonts w:ascii="Tahoma" w:hAnsi="Tahoma" w:cs="Tahoma"/>
                <w:b/>
              </w:rPr>
            </w:pPr>
            <w:r w:rsidRPr="00BD1DBF">
              <w:rPr>
                <w:rFonts w:ascii="Tahoma" w:hAnsi="Tahoma" w:cs="Tahoma"/>
                <w:b/>
              </w:rPr>
              <w:t xml:space="preserve">                                                       İMZA</w:t>
            </w:r>
          </w:p>
        </w:tc>
      </w:tr>
      <w:tr w:rsidR="009A5D93" w:rsidRPr="00BD1DBF" w:rsidTr="00F14D04">
        <w:trPr>
          <w:trHeight w:val="534"/>
        </w:trPr>
        <w:tc>
          <w:tcPr>
            <w:tcW w:w="3390"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F14D04">
            <w:pPr>
              <w:jc w:val="both"/>
              <w:rPr>
                <w:rFonts w:ascii="Tahoma" w:hAnsi="Tahoma" w:cs="Tahoma"/>
              </w:rPr>
            </w:pPr>
            <w:r>
              <w:rPr>
                <w:rFonts w:ascii="Tahoma" w:hAnsi="Tahoma" w:cs="Tahoma"/>
              </w:rPr>
              <w:t>MALATYA</w:t>
            </w: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r>
      <w:tr w:rsidR="009A5D93" w:rsidRPr="00BD1DBF" w:rsidTr="00F14D04">
        <w:trPr>
          <w:trHeight w:val="555"/>
        </w:trPr>
        <w:tc>
          <w:tcPr>
            <w:tcW w:w="3390"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r>
      <w:tr w:rsidR="009A5D93" w:rsidRPr="00BD1DBF" w:rsidTr="00F14D04">
        <w:trPr>
          <w:trHeight w:val="534"/>
        </w:trPr>
        <w:tc>
          <w:tcPr>
            <w:tcW w:w="3390"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r>
      <w:tr w:rsidR="009A5D93" w:rsidRPr="00BD1DBF" w:rsidTr="00F14D04">
        <w:trPr>
          <w:trHeight w:val="534"/>
        </w:trPr>
        <w:tc>
          <w:tcPr>
            <w:tcW w:w="3390"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r>
      <w:tr w:rsidR="009A5D93" w:rsidRPr="00BD1DBF" w:rsidTr="00F14D04">
        <w:trPr>
          <w:trHeight w:val="534"/>
        </w:trPr>
        <w:tc>
          <w:tcPr>
            <w:tcW w:w="3390"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c>
          <w:tcPr>
            <w:tcW w:w="3391" w:type="dxa"/>
            <w:tcBorders>
              <w:top w:val="single" w:sz="4" w:space="0" w:color="auto"/>
              <w:left w:val="single" w:sz="4" w:space="0" w:color="auto"/>
              <w:bottom w:val="single" w:sz="4" w:space="0" w:color="auto"/>
              <w:right w:val="single" w:sz="4" w:space="0" w:color="auto"/>
            </w:tcBorders>
          </w:tcPr>
          <w:p w:rsidR="009A5D93" w:rsidRPr="00BD1DBF" w:rsidRDefault="009A5D93">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bookmarkStart w:id="0" w:name="_GoBack"/>
            <w:bookmarkEnd w:id="0"/>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r w:rsidR="00F14D04" w:rsidRPr="00BD1DBF" w:rsidTr="00F14D04">
        <w:trPr>
          <w:trHeight w:val="534"/>
        </w:trPr>
        <w:tc>
          <w:tcPr>
            <w:tcW w:w="3390"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c>
          <w:tcPr>
            <w:tcW w:w="3391" w:type="dxa"/>
          </w:tcPr>
          <w:p w:rsidR="00F14D04" w:rsidRPr="00BD1DBF" w:rsidRDefault="00F14D04" w:rsidP="00CD3BC5">
            <w:pPr>
              <w:jc w:val="both"/>
              <w:rPr>
                <w:rFonts w:ascii="Tahoma" w:hAnsi="Tahoma" w:cs="Tahoma"/>
              </w:rPr>
            </w:pPr>
          </w:p>
        </w:tc>
      </w:tr>
    </w:tbl>
    <w:p w:rsidR="009A5D93" w:rsidRPr="00BD1DBF" w:rsidRDefault="009A5D93" w:rsidP="00F14D04">
      <w:pPr>
        <w:rPr>
          <w:rFonts w:ascii="Tahoma" w:hAnsi="Tahoma" w:cs="Tahoma"/>
          <w:b/>
        </w:rPr>
      </w:pPr>
    </w:p>
    <w:sectPr w:rsidR="009A5D93" w:rsidRPr="00BD1DBF" w:rsidSect="00F14D04">
      <w:pgSz w:w="11906" w:h="16838"/>
      <w:pgMar w:top="426"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6EEF"/>
    <w:multiLevelType w:val="hybridMultilevel"/>
    <w:tmpl w:val="801E87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93"/>
    <w:rsid w:val="005A506B"/>
    <w:rsid w:val="008E4C77"/>
    <w:rsid w:val="009374B3"/>
    <w:rsid w:val="009A5D93"/>
    <w:rsid w:val="00BD1DBF"/>
    <w:rsid w:val="00F14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5D93"/>
    <w:pPr>
      <w:spacing w:line="256" w:lineRule="auto"/>
      <w:ind w:left="720"/>
      <w:contextualSpacing/>
    </w:pPr>
  </w:style>
  <w:style w:type="table" w:styleId="TabloKlavuzu">
    <w:name w:val="Table Grid"/>
    <w:basedOn w:val="NormalTablo"/>
    <w:uiPriority w:val="39"/>
    <w:rsid w:val="009A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14D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5D93"/>
    <w:pPr>
      <w:spacing w:line="256" w:lineRule="auto"/>
      <w:ind w:left="720"/>
      <w:contextualSpacing/>
    </w:pPr>
  </w:style>
  <w:style w:type="table" w:styleId="TabloKlavuzu">
    <w:name w:val="Table Grid"/>
    <w:basedOn w:val="NormalTablo"/>
    <w:uiPriority w:val="39"/>
    <w:rsid w:val="009A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14D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38FA-78D5-465D-816F-55AC630C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2020-11-10T10:37:00Z</cp:lastPrinted>
  <dcterms:created xsi:type="dcterms:W3CDTF">2020-11-10T10:37:00Z</dcterms:created>
  <dcterms:modified xsi:type="dcterms:W3CDTF">2020-11-10T10:37:00Z</dcterms:modified>
</cp:coreProperties>
</file>